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C8F9" w14:textId="317702B3" w:rsidR="00E242B6" w:rsidRPr="00166068" w:rsidRDefault="00FD337C" w:rsidP="00646AB3">
      <w:pPr>
        <w:rPr>
          <w:rFonts w:cstheme="minorHAnsi"/>
          <w:lang w:val="es-ES"/>
        </w:rPr>
      </w:pPr>
      <w:r>
        <w:rPr>
          <w:rFonts w:cstheme="minorHAnsi"/>
          <w:lang w:val="es"/>
        </w:rPr>
        <w:t>3//2024</w:t>
      </w:r>
    </w:p>
    <w:p w14:paraId="68C7A9D5" w14:textId="77777777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Estimado Padre:</w:t>
      </w:r>
    </w:p>
    <w:p w14:paraId="779E3FB3" w14:textId="323BB072" w:rsidR="00EB15B2" w:rsidRPr="00166068" w:rsidRDefault="00FD337C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>McLean ISD</w:t>
      </w:r>
      <w:r w:rsidR="00646AB3" w:rsidRPr="00E422D8" w:rsidDel="00000008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</w:t>
      </w:r>
      <w:proofErr w:type="spellStart"/>
      <w:r w:rsidR="00EB15B2" w:rsidRPr="00E422D8">
        <w:rPr>
          <w:rFonts w:cstheme="minorHAnsi"/>
          <w:lang w:val="es"/>
        </w:rPr>
        <w:t>Every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Student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Succeeds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Act</w:t>
      </w:r>
      <w:proofErr w:type="spellEnd"/>
      <w:r w:rsidR="00EB15B2" w:rsidRPr="00E422D8">
        <w:rPr>
          <w:rFonts w:cstheme="minorHAnsi"/>
          <w:lang w:val="es"/>
        </w:rPr>
        <w:t xml:space="preserve">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53405B60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r w:rsidR="00FD337C">
        <w:rPr>
          <w:rFonts w:cstheme="minorHAnsi"/>
          <w:lang w:val="es"/>
        </w:rPr>
        <w:t>www.mcleanisd.com</w:t>
      </w:r>
      <w:r w:rsidR="00A23A6B" w:rsidRPr="00E422D8">
        <w:rPr>
          <w:rFonts w:cstheme="minorHAnsi"/>
          <w:lang w:val="es"/>
        </w:rPr>
        <w:t xml:space="preserve"> o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8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1D561CF9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aa</w:t>
      </w:r>
      <w:proofErr w:type="spellEnd"/>
      <w:r w:rsidRPr="00132A1E">
        <w:rPr>
          <w:rFonts w:ascii="Calibri" w:hAnsi="Calibri" w:cs="Calibri"/>
          <w:lang w:val="es"/>
        </w:rPr>
        <w:t>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bb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cc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dd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ii</w:t>
      </w:r>
      <w:proofErr w:type="spellEnd"/>
      <w:r w:rsidRPr="00E422D8">
        <w:rPr>
          <w:rFonts w:cstheme="minorHAnsi"/>
          <w:b/>
          <w:lang w:val="es"/>
        </w:rPr>
        <w:t>): Logro Estudiantil por Nivel de Competencia</w:t>
      </w:r>
    </w:p>
    <w:p w14:paraId="5D5643A9" w14:textId="7F71CD05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</w:t>
      </w:r>
      <w:proofErr w:type="spellStart"/>
      <w:r w:rsidRPr="00292A76">
        <w:rPr>
          <w:rFonts w:cstheme="minorHAnsi"/>
          <w:lang w:val="es"/>
        </w:rPr>
        <w:t>State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Texas </w:t>
      </w:r>
      <w:proofErr w:type="spellStart"/>
      <w:r w:rsidRPr="00292A76">
        <w:rPr>
          <w:rFonts w:cstheme="minorHAnsi"/>
          <w:lang w:val="es"/>
        </w:rPr>
        <w:t>Assessments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Academic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Readiness</w:t>
      </w:r>
      <w:proofErr w:type="spellEnd"/>
      <w:r w:rsidRPr="00292A76">
        <w:rPr>
          <w:rFonts w:cstheme="minorHAnsi"/>
          <w:lang w:val="es"/>
        </w:rPr>
        <w:t xml:space="preserve">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 xml:space="preserve">por sus siglas en inglés) para matemáticas, ELA (Artes del lenguaje </w:t>
      </w:r>
      <w:proofErr w:type="gramStart"/>
      <w:r w:rsidRPr="00292A76">
        <w:rPr>
          <w:rFonts w:cstheme="minorHAnsi"/>
          <w:lang w:val="es"/>
        </w:rPr>
        <w:t>inglés)/</w:t>
      </w:r>
      <w:proofErr w:type="gramEnd"/>
      <w:r w:rsidRPr="00292A76">
        <w:rPr>
          <w:rFonts w:cstheme="minorHAnsi"/>
          <w:lang w:val="es"/>
        </w:rPr>
        <w:t>lectura y ciencias por nivel de grado y nivel de competencia para el año escolar 202</w:t>
      </w:r>
      <w:r w:rsidR="00173A9A">
        <w:rPr>
          <w:rFonts w:cstheme="minorHAnsi"/>
          <w:lang w:val="es"/>
        </w:rPr>
        <w:t>2</w:t>
      </w:r>
      <w:r w:rsidRPr="00292A76">
        <w:rPr>
          <w:rFonts w:cstheme="minorHAnsi"/>
          <w:lang w:val="es"/>
        </w:rPr>
        <w:t>–2</w:t>
      </w:r>
      <w:r w:rsidR="00173A9A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(I): Crecimiento académico</w:t>
      </w:r>
    </w:p>
    <w:p w14:paraId="2AD6FD32" w14:textId="12D8E86D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 xml:space="preserve">Esta sección proporciona información sobre el crecimiento académico de los estudiantes en las matemáticas y ELA (Artes del lenguaje </w:t>
      </w:r>
      <w:proofErr w:type="gramStart"/>
      <w:r w:rsidRPr="00BF4064">
        <w:rPr>
          <w:rFonts w:ascii="Calibri" w:hAnsi="Calibri" w:cs="Calibri"/>
          <w:lang w:val="es"/>
        </w:rPr>
        <w:t>inglés)/</w:t>
      </w:r>
      <w:proofErr w:type="gramEnd"/>
      <w:r w:rsidRPr="00BF4064">
        <w:rPr>
          <w:rFonts w:ascii="Calibri" w:hAnsi="Calibri" w:cs="Calibri"/>
          <w:lang w:val="es"/>
        </w:rPr>
        <w:t>lectura para escuelas primarias públicas y escuelas secundarias que no tienen una tasa de graduación para el año escolar 202</w:t>
      </w:r>
      <w:r w:rsidR="00173A9A">
        <w:rPr>
          <w:rFonts w:ascii="Calibri" w:hAnsi="Calibri" w:cs="Calibri"/>
          <w:lang w:val="es"/>
        </w:rPr>
        <w:t>2</w:t>
      </w:r>
      <w:r w:rsidRPr="00BF4064">
        <w:rPr>
          <w:rFonts w:ascii="Calibri" w:hAnsi="Calibri" w:cs="Calibri"/>
          <w:lang w:val="es"/>
        </w:rPr>
        <w:t>-2</w:t>
      </w:r>
      <w:r w:rsidR="00173A9A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(II): Tasa de graduación</w:t>
      </w:r>
    </w:p>
    <w:p w14:paraId="148A247C" w14:textId="4E5C76F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173A9A">
        <w:rPr>
          <w:rFonts w:cstheme="minorHAnsi"/>
          <w:lang w:val="es"/>
        </w:rPr>
        <w:t>2</w:t>
      </w:r>
      <w:r w:rsidR="002E0DAB" w:rsidRPr="00E422D8">
        <w:rPr>
          <w:rFonts w:cstheme="minorHAnsi"/>
          <w:lang w:val="es"/>
        </w:rPr>
        <w:t>.</w:t>
      </w:r>
    </w:p>
    <w:p w14:paraId="00C9E282" w14:textId="530A9C11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iv</w:t>
      </w:r>
      <w:proofErr w:type="spellEnd"/>
      <w:r w:rsidRPr="00E422D8">
        <w:rPr>
          <w:rFonts w:cstheme="minorHAnsi"/>
          <w:b/>
          <w:lang w:val="es"/>
        </w:rPr>
        <w:t>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173A9A">
        <w:rPr>
          <w:rFonts w:cstheme="minorHAnsi"/>
          <w:lang w:val="es"/>
        </w:rPr>
        <w:t>3</w:t>
      </w:r>
      <w:r w:rsidR="00141D33" w:rsidRPr="00141D33">
        <w:rPr>
          <w:rFonts w:cstheme="minorHAnsi"/>
          <w:lang w:val="es"/>
        </w:rPr>
        <w:t xml:space="preserve"> Texas English </w:t>
      </w:r>
      <w:proofErr w:type="spellStart"/>
      <w:r w:rsidR="00141D33" w:rsidRPr="00141D33">
        <w:rPr>
          <w:rFonts w:cstheme="minorHAnsi"/>
          <w:lang w:val="es"/>
        </w:rPr>
        <w:t>Language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Proficiency</w:t>
      </w:r>
      <w:proofErr w:type="spellEnd"/>
      <w:r w:rsidR="00141D33" w:rsidRPr="00141D33">
        <w:rPr>
          <w:rFonts w:cstheme="minorHAnsi"/>
          <w:lang w:val="es"/>
        </w:rPr>
        <w:t xml:space="preserve"> Assessment </w:t>
      </w:r>
      <w:proofErr w:type="spellStart"/>
      <w:r w:rsidR="00141D33" w:rsidRPr="00141D33">
        <w:rPr>
          <w:rFonts w:cstheme="minorHAnsi"/>
          <w:lang w:val="es"/>
        </w:rPr>
        <w:t>System</w:t>
      </w:r>
      <w:proofErr w:type="spellEnd"/>
      <w:r w:rsidR="00141D33" w:rsidRPr="00141D33">
        <w:rPr>
          <w:rFonts w:cstheme="minorHAnsi"/>
          <w:lang w:val="es"/>
        </w:rPr>
        <w:t xml:space="preserve">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0" w:name="_Hlk29815984"/>
      <w:r w:rsidR="00EB15B2" w:rsidRPr="00E422D8">
        <w:rPr>
          <w:rFonts w:cstheme="minorHAnsi"/>
          <w:b/>
          <w:lang w:val="es"/>
        </w:rPr>
        <w:t>lé</w:t>
      </w:r>
      <w:bookmarkEnd w:id="0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otro indicador de la calidad de la escuela o el éxito de los estudiantes, que 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 xml:space="preserve">s) para las escuelas secundarias y la tasa de rendimiento promedio de los tres niveles de desempeño STAAR de todos los estudiantes, </w:t>
      </w:r>
      <w:r w:rsidR="00141D33" w:rsidRPr="00141D33">
        <w:rPr>
          <w:rFonts w:cstheme="minorHAnsi"/>
          <w:lang w:val="es"/>
        </w:rPr>
        <w:lastRenderedPageBreak/>
        <w:t>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650F945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</w:t>
      </w:r>
      <w:proofErr w:type="spellEnd"/>
      <w:r w:rsidRPr="00E422D8">
        <w:rPr>
          <w:rFonts w:cstheme="minorHAnsi"/>
          <w:b/>
          <w:lang w:val="es"/>
        </w:rPr>
        <w:t>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el porcentaje de estudiantes evaluados y no evaluados para matemáticas, ELA (Artes del lenguaje </w:t>
      </w:r>
      <w:proofErr w:type="gramStart"/>
      <w:r w:rsidR="00141D33" w:rsidRPr="00141D33">
        <w:rPr>
          <w:rFonts w:cstheme="minorHAnsi"/>
          <w:lang w:val="es"/>
        </w:rPr>
        <w:t>inglés)/</w:t>
      </w:r>
      <w:proofErr w:type="gramEnd"/>
      <w:r w:rsidR="00141D33" w:rsidRPr="00141D33">
        <w:rPr>
          <w:rFonts w:cstheme="minorHAnsi"/>
          <w:lang w:val="es"/>
        </w:rPr>
        <w:t>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2022-23.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viii</w:t>
      </w:r>
      <w:proofErr w:type="spellEnd"/>
      <w:r w:rsidRPr="00E422D8">
        <w:rPr>
          <w:rFonts w:cstheme="minorHAnsi"/>
          <w:b/>
          <w:lang w:val="es"/>
        </w:rPr>
        <w:t>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proofErr w:type="spellStart"/>
      <w:r w:rsidRPr="00404E6C">
        <w:rPr>
          <w:rFonts w:cstheme="minorHAnsi"/>
          <w:u w:val="single"/>
          <w:lang w:val="es"/>
        </w:rPr>
        <w:t>viii</w:t>
      </w:r>
      <w:proofErr w:type="spellEnd"/>
      <w:r w:rsidRPr="00404E6C">
        <w:rPr>
          <w:rFonts w:cstheme="minorHAnsi"/>
          <w:u w:val="single"/>
          <w:lang w:val="es"/>
        </w:rPr>
        <w:t>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proofErr w:type="spellStart"/>
      <w:r w:rsidRPr="00404E6C">
        <w:rPr>
          <w:rFonts w:cstheme="minorHAnsi"/>
          <w:bCs/>
          <w:u w:val="single"/>
          <w:lang w:val="es"/>
        </w:rPr>
        <w:t>viii</w:t>
      </w:r>
      <w:proofErr w:type="spellEnd"/>
      <w:r w:rsidRPr="00404E6C">
        <w:rPr>
          <w:rFonts w:cstheme="minorHAnsi"/>
          <w:bCs/>
          <w:u w:val="single"/>
          <w:lang w:val="es"/>
        </w:rPr>
        <w:t>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ix</w:t>
      </w:r>
      <w:proofErr w:type="spellEnd"/>
      <w:r w:rsidRPr="00E422D8">
        <w:rPr>
          <w:rFonts w:cstheme="minorHAnsi"/>
          <w:b/>
          <w:lang w:val="es"/>
        </w:rPr>
        <w:t xml:space="preserve">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187FD7EF" w14:textId="0E9985DD" w:rsidR="005F6370" w:rsidRPr="00166068" w:rsidRDefault="004D19B0" w:rsidP="005F6370">
      <w:pPr>
        <w:spacing w:before="120" w:after="120"/>
        <w:ind w:firstLine="720"/>
        <w:rPr>
          <w:rFonts w:cstheme="minorHAnsi"/>
          <w:lang w:val="es-ES"/>
        </w:rPr>
      </w:pPr>
      <w:r w:rsidRPr="00166068">
        <w:rPr>
          <w:rFonts w:cstheme="minorHAnsi"/>
          <w:i/>
          <w:iCs/>
          <w:lang w:val="es-ES"/>
        </w:rPr>
        <w:t>Se actualizar</w:t>
      </w:r>
      <w:r w:rsidR="00FA65EC" w:rsidRPr="00141D33">
        <w:rPr>
          <w:rFonts w:cstheme="minorHAnsi"/>
          <w:i/>
          <w:iCs/>
          <w:lang w:val="es"/>
        </w:rPr>
        <w:t>á</w:t>
      </w:r>
      <w:r w:rsidRPr="00166068">
        <w:rPr>
          <w:rFonts w:cstheme="minorHAnsi"/>
          <w:i/>
          <w:iCs/>
          <w:lang w:val="es-ES"/>
        </w:rPr>
        <w:t xml:space="preserve"> antes del 30 de junio de 202</w:t>
      </w:r>
      <w:r w:rsidR="0001484C">
        <w:rPr>
          <w:rFonts w:cstheme="minorHAnsi"/>
          <w:i/>
          <w:iCs/>
          <w:lang w:val="es-ES"/>
        </w:rPr>
        <w:t>4</w:t>
      </w:r>
      <w:r w:rsidRPr="00166068">
        <w:rPr>
          <w:rFonts w:cstheme="minorHAnsi"/>
          <w:i/>
          <w:iCs/>
          <w:lang w:val="es-ES"/>
        </w:rPr>
        <w:t>.</w:t>
      </w:r>
    </w:p>
    <w:p w14:paraId="2AE6BBB4" w14:textId="27645D6A" w:rsidR="005F6370" w:rsidRPr="00166068" w:rsidRDefault="008E3FF5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</w:t>
      </w:r>
      <w:proofErr w:type="spellStart"/>
      <w:r w:rsidRPr="00E422D8">
        <w:rPr>
          <w:rFonts w:cstheme="minorHAnsi"/>
          <w:b/>
          <w:lang w:val="es"/>
        </w:rPr>
        <w:t>Alternate</w:t>
      </w:r>
      <w:proofErr w:type="spellEnd"/>
      <w:r w:rsidRPr="00E422D8">
        <w:rPr>
          <w:rFonts w:cstheme="minorHAnsi"/>
          <w:b/>
          <w:lang w:val="es"/>
        </w:rPr>
        <w:t xml:space="preserve">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</w:t>
      </w:r>
      <w:proofErr w:type="spellStart"/>
      <w:r w:rsidR="005F6370" w:rsidRPr="005F6370">
        <w:rPr>
          <w:rFonts w:cstheme="minorHAnsi"/>
          <w:lang w:val="es"/>
        </w:rPr>
        <w:t>Alternate</w:t>
      </w:r>
      <w:proofErr w:type="spellEnd"/>
      <w:r w:rsidR="005F6370" w:rsidRPr="005F6370">
        <w:rPr>
          <w:rFonts w:cstheme="minorHAnsi"/>
          <w:lang w:val="es"/>
        </w:rPr>
        <w:t xml:space="preserve"> 2, por grado y materia para el año escolar </w:t>
      </w:r>
      <w:r w:rsidR="0001484C">
        <w:rPr>
          <w:rFonts w:cstheme="minorHAnsi"/>
          <w:lang w:val="es"/>
        </w:rPr>
        <w:t>2022-23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proofErr w:type="spellStart"/>
      <w:r w:rsidRPr="00E422D8">
        <w:rPr>
          <w:rFonts w:cstheme="minorHAnsi"/>
          <w:b/>
          <w:bCs/>
          <w:lang w:val="es"/>
        </w:rPr>
        <w:t>xii</w:t>
      </w:r>
      <w:proofErr w:type="spellEnd"/>
      <w:r w:rsidRPr="00E422D8">
        <w:rPr>
          <w:rFonts w:cstheme="minorHAnsi"/>
          <w:b/>
          <w:bCs/>
          <w:lang w:val="es"/>
        </w:rPr>
        <w:t>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</w:t>
      </w:r>
      <w:proofErr w:type="spellStart"/>
      <w:r w:rsidR="00EB15B2" w:rsidRPr="00E422D8">
        <w:rPr>
          <w:rFonts w:cstheme="minorHAnsi"/>
          <w:b/>
          <w:bCs/>
          <w:lang w:val="es"/>
        </w:rPr>
        <w:t>ingles</w:t>
      </w:r>
      <w:proofErr w:type="spellEnd"/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3DB906F8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>Parte (</w:t>
      </w:r>
      <w:proofErr w:type="spellStart"/>
      <w:r w:rsidRPr="00E422D8">
        <w:rPr>
          <w:rFonts w:cstheme="minorHAnsi"/>
          <w:b/>
          <w:bCs/>
          <w:lang w:val="es"/>
        </w:rPr>
        <w:t>xiii</w:t>
      </w:r>
      <w:proofErr w:type="spellEnd"/>
      <w:r w:rsidRPr="00E422D8">
        <w:rPr>
          <w:rFonts w:cstheme="minorHAnsi"/>
          <w:b/>
          <w:bCs/>
          <w:lang w:val="es"/>
        </w:rPr>
        <w:t xml:space="preserve">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2020-21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D049EB">
        <w:rPr>
          <w:rFonts w:cstheme="minorHAnsi"/>
          <w:lang w:val="es"/>
        </w:rPr>
        <w:t>1</w:t>
      </w:r>
      <w:r w:rsidR="005F6370" w:rsidRPr="005F6370">
        <w:rPr>
          <w:rFonts w:cstheme="minorHAnsi"/>
          <w:lang w:val="es"/>
        </w:rPr>
        <w:t>-2</w:t>
      </w:r>
      <w:r w:rsidR="00D049EB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en (I) una institución </w:t>
      </w:r>
      <w:proofErr w:type="spellStart"/>
      <w:r w:rsidR="005F6370" w:rsidRPr="005F6370">
        <w:rPr>
          <w:rFonts w:cstheme="minorHAnsi"/>
          <w:lang w:val="es"/>
        </w:rPr>
        <w:t>publica</w:t>
      </w:r>
      <w:proofErr w:type="spellEnd"/>
      <w:r w:rsidR="005F6370" w:rsidRPr="005F6370">
        <w:rPr>
          <w:rFonts w:cstheme="minorHAnsi"/>
          <w:lang w:val="es"/>
        </w:rPr>
        <w:t xml:space="preserve"> de educación postsecundaria en Texas; (II) una institución privada de educación postsecundaria en Texas; y (III) una institución de educación postsecundaria fuera de Texas.</w:t>
      </w:r>
    </w:p>
    <w:p w14:paraId="09667387" w14:textId="3CB3F1A8" w:rsidR="005F6370" w:rsidRPr="00166068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t>Parte (</w:t>
      </w:r>
      <w:proofErr w:type="spellStart"/>
      <w:r w:rsidRPr="00E422D8">
        <w:rPr>
          <w:rFonts w:cstheme="minorHAnsi"/>
          <w:b/>
          <w:bCs/>
          <w:lang w:val="es"/>
        </w:rPr>
        <w:t>xi</w:t>
      </w:r>
      <w:r>
        <w:rPr>
          <w:rFonts w:cstheme="minorHAnsi"/>
          <w:b/>
          <w:bCs/>
          <w:lang w:val="es"/>
        </w:rPr>
        <w:t>v</w:t>
      </w:r>
      <w:proofErr w:type="spellEnd"/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proofErr w:type="spellStart"/>
      <w:r w:rsidRPr="005F6370">
        <w:rPr>
          <w:rFonts w:cstheme="minorHAnsi"/>
          <w:b/>
          <w:bCs/>
          <w:lang w:val="es"/>
        </w:rPr>
        <w:t>ónico</w:t>
      </w:r>
      <w:proofErr w:type="spellEnd"/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</w:t>
      </w:r>
      <w:proofErr w:type="spellStart"/>
      <w:r w:rsidRPr="005F6370">
        <w:rPr>
          <w:rFonts w:cstheme="minorHAnsi"/>
          <w:lang w:val="es-ES"/>
        </w:rPr>
        <w:t>EDFacts</w:t>
      </w:r>
      <w:proofErr w:type="spellEnd"/>
      <w:r w:rsidRPr="005F6370">
        <w:rPr>
          <w:rFonts w:cstheme="minorHAnsi"/>
          <w:lang w:val="es-ES"/>
        </w:rPr>
        <w:t xml:space="preserve">: porcentaje de la </w:t>
      </w:r>
      <w:r w:rsidRPr="005F6370">
        <w:rPr>
          <w:rFonts w:cstheme="minorHAnsi"/>
          <w:lang w:val="es-ES"/>
        </w:rPr>
        <w:lastRenderedPageBreak/>
        <w:t xml:space="preserve">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D049EB">
        <w:rPr>
          <w:rFonts w:cstheme="minorHAnsi"/>
          <w:lang w:val="es-ES"/>
        </w:rPr>
        <w:t>1</w:t>
      </w:r>
      <w:r w:rsidR="000F585F">
        <w:rPr>
          <w:rFonts w:cstheme="minorHAnsi"/>
          <w:lang w:val="es-ES"/>
        </w:rPr>
        <w:t>-2</w:t>
      </w:r>
      <w:r w:rsidR="00D049EB">
        <w:rPr>
          <w:rFonts w:cstheme="minorHAnsi"/>
          <w:lang w:val="es-ES"/>
        </w:rPr>
        <w:t>2</w:t>
      </w:r>
      <w:r w:rsidRPr="005F6370">
        <w:rPr>
          <w:rFonts w:cstheme="minorHAnsi"/>
          <w:lang w:val="es-ES"/>
        </w:rPr>
        <w:t>.</w:t>
      </w:r>
    </w:p>
    <w:p w14:paraId="58DC58BC" w14:textId="69FB7CE4" w:rsidR="00A23A6B" w:rsidRPr="00166068" w:rsidRDefault="00A23A6B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Si tiene alguna pregunta sobre</w:t>
      </w:r>
      <w:r w:rsidR="00EB15B2" w:rsidRPr="00E422D8">
        <w:rPr>
          <w:rFonts w:cstheme="minorHAnsi"/>
          <w:lang w:val="es"/>
        </w:rPr>
        <w:t xml:space="preserve"> la información, póngase en contacto </w:t>
      </w:r>
      <w:proofErr w:type="gramStart"/>
      <w:r w:rsidR="00EB15B2" w:rsidRPr="00E422D8">
        <w:rPr>
          <w:rFonts w:cstheme="minorHAnsi"/>
          <w:lang w:val="es"/>
        </w:rPr>
        <w:t xml:space="preserve">con </w:t>
      </w:r>
      <w:r w:rsidR="00FD337C">
        <w:rPr>
          <w:rFonts w:cstheme="minorHAnsi"/>
          <w:lang w:val="es"/>
        </w:rPr>
        <w:t xml:space="preserve"> MISD</w:t>
      </w:r>
      <w:proofErr w:type="gramEnd"/>
      <w:r w:rsidR="00FD337C">
        <w:rPr>
          <w:rFonts w:cstheme="minorHAnsi"/>
          <w:lang w:val="es"/>
        </w:rPr>
        <w:t xml:space="preserve"> Business Office 806-779-2571</w:t>
      </w:r>
      <w:r w:rsidR="00EB15B2" w:rsidRPr="00E422D8">
        <w:rPr>
          <w:rFonts w:cstheme="minorHAnsi"/>
          <w:lang w:val="es"/>
        </w:rPr>
        <w:t>.</w:t>
      </w:r>
    </w:p>
    <w:p w14:paraId="2D6E2D01" w14:textId="759073C8" w:rsidR="00A23A6B" w:rsidRPr="00E422D8" w:rsidRDefault="00A23A6B" w:rsidP="00646AB3">
      <w:pPr>
        <w:rPr>
          <w:rFonts w:cstheme="minorHAnsi"/>
        </w:rPr>
      </w:pPr>
      <w:proofErr w:type="spellStart"/>
      <w:r w:rsidRPr="00173A9A">
        <w:rPr>
          <w:rFonts w:cstheme="minorHAnsi"/>
        </w:rPr>
        <w:t>Since</w:t>
      </w:r>
      <w:bookmarkStart w:id="1" w:name="_GoBack"/>
      <w:bookmarkEnd w:id="1"/>
      <w:r w:rsidRPr="00173A9A">
        <w:rPr>
          <w:rFonts w:cstheme="minorHAnsi"/>
        </w:rPr>
        <w:t>ramente</w:t>
      </w:r>
      <w:proofErr w:type="spellEnd"/>
      <w:r w:rsidR="002F721D" w:rsidRPr="00173A9A">
        <w:rPr>
          <w:rFonts w:cstheme="minorHAnsi"/>
        </w:rPr>
        <w:t>,</w:t>
      </w:r>
    </w:p>
    <w:p w14:paraId="76C14A5D" w14:textId="3F2536F0" w:rsidR="00646AB3" w:rsidRPr="00E422D8" w:rsidRDefault="00FD337C" w:rsidP="00646AB3">
      <w:pPr>
        <w:rPr>
          <w:rFonts w:cstheme="minorHAnsi"/>
        </w:rPr>
      </w:pPr>
      <w:r>
        <w:rPr>
          <w:rFonts w:cstheme="minorHAnsi"/>
          <w:lang w:val="es"/>
        </w:rPr>
        <w:t>Johnny James, Ínterin Superintendente</w:t>
      </w:r>
    </w:p>
    <w:sectPr w:rsidR="00646AB3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B3"/>
    <w:rsid w:val="0001484C"/>
    <w:rsid w:val="00025229"/>
    <w:rsid w:val="00060D3C"/>
    <w:rsid w:val="00080CFB"/>
    <w:rsid w:val="000E6E19"/>
    <w:rsid w:val="000F585F"/>
    <w:rsid w:val="001031D2"/>
    <w:rsid w:val="00117C42"/>
    <w:rsid w:val="00117DE3"/>
    <w:rsid w:val="00132A1E"/>
    <w:rsid w:val="00141D33"/>
    <w:rsid w:val="00141E03"/>
    <w:rsid w:val="00151F78"/>
    <w:rsid w:val="00166068"/>
    <w:rsid w:val="00173A9A"/>
    <w:rsid w:val="00187B29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57490"/>
    <w:rsid w:val="002752C8"/>
    <w:rsid w:val="00292A76"/>
    <w:rsid w:val="002C26A9"/>
    <w:rsid w:val="002E0DAB"/>
    <w:rsid w:val="002F5D33"/>
    <w:rsid w:val="002F721D"/>
    <w:rsid w:val="0031055D"/>
    <w:rsid w:val="00372DA1"/>
    <w:rsid w:val="00390224"/>
    <w:rsid w:val="003A0510"/>
    <w:rsid w:val="003F56FC"/>
    <w:rsid w:val="00404E6C"/>
    <w:rsid w:val="00421A5F"/>
    <w:rsid w:val="00440AB4"/>
    <w:rsid w:val="004C7EDF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F6370"/>
    <w:rsid w:val="006239E3"/>
    <w:rsid w:val="0062525E"/>
    <w:rsid w:val="006447EE"/>
    <w:rsid w:val="00646AB3"/>
    <w:rsid w:val="00665EA2"/>
    <w:rsid w:val="00681BCB"/>
    <w:rsid w:val="006B467F"/>
    <w:rsid w:val="006D2417"/>
    <w:rsid w:val="006E088F"/>
    <w:rsid w:val="0070750E"/>
    <w:rsid w:val="00720ABB"/>
    <w:rsid w:val="00731415"/>
    <w:rsid w:val="00767CE8"/>
    <w:rsid w:val="0077170B"/>
    <w:rsid w:val="0077421F"/>
    <w:rsid w:val="0078558B"/>
    <w:rsid w:val="007902C6"/>
    <w:rsid w:val="00830624"/>
    <w:rsid w:val="00862580"/>
    <w:rsid w:val="00881F90"/>
    <w:rsid w:val="00891DD4"/>
    <w:rsid w:val="008E3FF5"/>
    <w:rsid w:val="008F1F13"/>
    <w:rsid w:val="008F7B11"/>
    <w:rsid w:val="00903F3F"/>
    <w:rsid w:val="00917CE7"/>
    <w:rsid w:val="009207B3"/>
    <w:rsid w:val="00947D09"/>
    <w:rsid w:val="00976483"/>
    <w:rsid w:val="00980053"/>
    <w:rsid w:val="00995B43"/>
    <w:rsid w:val="009B11F1"/>
    <w:rsid w:val="009E5A32"/>
    <w:rsid w:val="00A00FFD"/>
    <w:rsid w:val="00A01D81"/>
    <w:rsid w:val="00A23A6B"/>
    <w:rsid w:val="00A2797C"/>
    <w:rsid w:val="00A40DFB"/>
    <w:rsid w:val="00A42403"/>
    <w:rsid w:val="00A4470D"/>
    <w:rsid w:val="00A631E2"/>
    <w:rsid w:val="00A676F9"/>
    <w:rsid w:val="00A76AE9"/>
    <w:rsid w:val="00AC5DB2"/>
    <w:rsid w:val="00AF701A"/>
    <w:rsid w:val="00B13B4C"/>
    <w:rsid w:val="00B16227"/>
    <w:rsid w:val="00B26CF7"/>
    <w:rsid w:val="00B34CC3"/>
    <w:rsid w:val="00B34CCD"/>
    <w:rsid w:val="00B54F46"/>
    <w:rsid w:val="00B60736"/>
    <w:rsid w:val="00B72915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C7665"/>
    <w:rsid w:val="00DE4F71"/>
    <w:rsid w:val="00E104EA"/>
    <w:rsid w:val="00E10914"/>
    <w:rsid w:val="00E242B6"/>
    <w:rsid w:val="00E34775"/>
    <w:rsid w:val="00E422D8"/>
    <w:rsid w:val="00E44802"/>
    <w:rsid w:val="00E46EE8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520E"/>
    <w:rsid w:val="00FA52A1"/>
    <w:rsid w:val="00FA65EC"/>
    <w:rsid w:val="00FD337C"/>
    <w:rsid w:val="00FD61C8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.texas.gov/texas-schools/accountability/academic-accountability/performance-reporting/federal-report-c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A16BE-02F0-40EF-BB48-0BF42059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Amy Calvert</cp:lastModifiedBy>
  <cp:revision>3</cp:revision>
  <cp:lastPrinted>2020-01-13T21:14:00Z</cp:lastPrinted>
  <dcterms:created xsi:type="dcterms:W3CDTF">2023-12-21T05:53:00Z</dcterms:created>
  <dcterms:modified xsi:type="dcterms:W3CDTF">2024-03-04T19:38:00Z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